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7ja66pnpe28h" w:id="0"/>
      <w:bookmarkEnd w:id="0"/>
      <w:r w:rsidDel="00000000" w:rsidR="00000000" w:rsidRPr="00000000">
        <w:rPr>
          <w:b w:val="1"/>
          <w:rtl w:val="0"/>
        </w:rPr>
        <w:t xml:space="preserve">Kampus-kampus universitas Malaysia yang memadukan lokal dan internasional</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23"/>
          <w:szCs w:val="23"/>
          <w:shd w:fill="f8f7f7" w:val="clear"/>
        </w:rPr>
      </w:pP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color w:val="666666"/>
          <w:sz w:val="18"/>
          <w:szCs w:val="18"/>
          <w:highlight w:val="white"/>
        </w:rPr>
      </w:pPr>
      <w:r w:rsidDel="00000000" w:rsidR="00000000" w:rsidRPr="00000000">
        <w:rPr>
          <w:rFonts w:ascii="Lora" w:cs="Lora" w:eastAsia="Lora" w:hAnsi="Lora"/>
          <w:b w:val="1"/>
          <w:i w:val="1"/>
          <w:color w:val="241f21"/>
          <w:sz w:val="24"/>
          <w:szCs w:val="24"/>
          <w:shd w:fill="f8f7f7" w:val="clear"/>
          <w:rtl w:val="0"/>
        </w:rPr>
        <w:t xml:space="preserve">Kampus-kampus internasional belajar dengan melakukan, mengintegrasikan pengetahuan lokal dan pendekatan ke institusi kelas dunia.</w:t>
      </w: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Memadukan pengetahuan lokal dan internasional menciptakan pembelajaran yang lebih baik: citra domain publik</w:t>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8">
      <w:pPr>
        <w:spacing w:line="240" w:lineRule="auto"/>
        <w:jc w:val="center"/>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666666"/>
          <w:sz w:val="23"/>
          <w:szCs w:val="23"/>
          <w:shd w:fill="f8f7f7" w:val="clear"/>
          <w:rtl w:val="0"/>
        </w:rPr>
        <w:t xml:space="preserve">Published on April 11, 2022</w:t>
      </w:r>
      <w:r w:rsidDel="00000000" w:rsidR="00000000" w:rsidRPr="00000000">
        <w:rPr>
          <w:rtl w:val="0"/>
        </w:rPr>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Andrew Walker, Monash University Malaysia</w:t>
      </w:r>
      <w:r w:rsidDel="00000000" w:rsidR="00000000" w:rsidRPr="00000000">
        <w:rPr>
          <w:rtl w:val="0"/>
        </w:rPr>
      </w:r>
    </w:p>
    <w:p w:rsidR="00000000" w:rsidDel="00000000" w:rsidP="00000000" w:rsidRDefault="00000000" w:rsidRPr="00000000" w14:paraId="0000000B">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Andrew Jaspan</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Monash University</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Andrew Jaspan is Director and Editor-in-Chief of 360info.</w:t>
      </w:r>
    </w:p>
    <w:p w:rsidR="00000000" w:rsidDel="00000000" w:rsidP="00000000" w:rsidRDefault="00000000" w:rsidRPr="00000000" w14:paraId="0000000F">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10.54377/2093-0030</w:t>
      </w:r>
      <w:r w:rsidDel="00000000" w:rsidR="00000000" w:rsidRPr="00000000">
        <w:rPr>
          <w:rtl w:val="0"/>
        </w:rPr>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Universitas berjalan lambat dalam melakukan globalisasi. Pada akhir tahun 1980-an, hanya ada sekitar 30 kampus internasional: mahasiswa pindah, universitas tidak. Keadaan mulai berubah pada awal 1990-an dan dua puluh tahun berikutnya menjadi saksi ledakan kecil dalam operasi pendidikan tinggi internasional.</w:t>
      </w:r>
    </w:p>
    <w:p w:rsidR="00000000" w:rsidDel="00000000" w:rsidP="00000000" w:rsidRDefault="00000000" w:rsidRPr="00000000" w14:paraId="00000012">
      <w:pPr>
        <w:spacing w:after="240" w:before="240" w:line="240" w:lineRule="auto"/>
        <w:rPr>
          <w:rFonts w:ascii="Lora" w:cs="Lora" w:eastAsia="Lora" w:hAnsi="Lora"/>
          <w:sz w:val="24"/>
          <w:szCs w:val="24"/>
        </w:rPr>
      </w:pPr>
      <w:hyperlink r:id="rId6">
        <w:r w:rsidDel="00000000" w:rsidR="00000000" w:rsidRPr="00000000">
          <w:rPr>
            <w:rFonts w:ascii="Lora" w:cs="Lora" w:eastAsia="Lora" w:hAnsi="Lora"/>
            <w:color w:val="0563c1"/>
            <w:sz w:val="24"/>
            <w:szCs w:val="24"/>
            <w:u w:val="single"/>
            <w:rtl w:val="0"/>
          </w:rPr>
          <w:t xml:space="preserve">Laju perkembangannya melambat</w:t>
        </w:r>
      </w:hyperlink>
      <w:r w:rsidDel="00000000" w:rsidR="00000000" w:rsidRPr="00000000">
        <w:rPr>
          <w:rFonts w:ascii="Lora" w:cs="Lora" w:eastAsia="Lora" w:hAnsi="Lora"/>
          <w:sz w:val="24"/>
          <w:szCs w:val="24"/>
          <w:rtl w:val="0"/>
        </w:rPr>
        <w:t xml:space="preserve"> dalam dekade terakhir - serangkaian kegagalan yang terjadi membuat kita harus berhati-hati - namun jumlah kampus internasional terus bertambah. </w:t>
      </w:r>
      <w:hyperlink r:id="rId7">
        <w:r w:rsidDel="00000000" w:rsidR="00000000" w:rsidRPr="00000000">
          <w:rPr>
            <w:rFonts w:ascii="Lora" w:cs="Lora" w:eastAsia="Lora" w:hAnsi="Lora"/>
            <w:color w:val="0563c1"/>
            <w:sz w:val="24"/>
            <w:szCs w:val="24"/>
            <w:u w:val="single"/>
            <w:rtl w:val="0"/>
          </w:rPr>
          <w:t xml:space="preserve">Perkiraan terbaru berkisar antara 250</w:t>
        </w:r>
      </w:hyperlink>
      <w:r w:rsidDel="00000000" w:rsidR="00000000" w:rsidRPr="00000000">
        <w:rPr>
          <w:rFonts w:ascii="Lora" w:cs="Lora" w:eastAsia="Lora" w:hAnsi="Lora"/>
          <w:sz w:val="24"/>
          <w:szCs w:val="24"/>
          <w:rtl w:val="0"/>
        </w:rPr>
        <w:t xml:space="preserve"> hingga </w:t>
      </w:r>
      <w:hyperlink r:id="rId8">
        <w:r w:rsidDel="00000000" w:rsidR="00000000" w:rsidRPr="00000000">
          <w:rPr>
            <w:rFonts w:ascii="Lora" w:cs="Lora" w:eastAsia="Lora" w:hAnsi="Lora"/>
            <w:color w:val="0563c1"/>
            <w:sz w:val="24"/>
            <w:szCs w:val="24"/>
            <w:u w:val="single"/>
            <w:rtl w:val="0"/>
          </w:rPr>
          <w:t xml:space="preserve">hampir 500 kampus di luar negeri</w:t>
        </w:r>
      </w:hyperlink>
      <w:r w:rsidDel="00000000" w:rsidR="00000000" w:rsidRPr="00000000">
        <w:rPr>
          <w:rFonts w:ascii="Lora" w:cs="Lora" w:eastAsia="Lora" w:hAnsi="Lora"/>
          <w:sz w:val="24"/>
          <w:szCs w:val="24"/>
          <w:rtl w:val="0"/>
        </w:rPr>
        <w:t xml:space="preserve"> dari universitas yang berbasis di tempat lain. Jumlah yang lebih tinggi mungkin mencakup operasi satu atau dua ruangan di dalam universitas tuan rumah; jumlah yang lebih rendah lebih mencerminkan apa yang kita harapkan ketika kita berbicara tentang 'kampus'.</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Universitas dari negara maju telah mendominasi pasar negara berkembang ini. Tiga negara pengekspor terbesar adalah Amerika Serikat, Inggris dan Perancis, dengan Australia dan Rusia yang juga aktif, namun pada tingkat yang lebih rendah. Terdapat konsentrasi paralel di negara-negara pengimpor: Cina dan Uni Emirat Arab merupakan tuan rumah kampus internasional yang paling aktif, diikuti oleh Singapura dan Malaysia.</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Operasi universitas internasional ini bertujuan untuk menantang arus mahasiswa yang secara historis dominan mencari pendidikan berkualitas tinggi di negara-negara maju. Namun, arus ini telah berubah dengan munculnya pusat-pusat pengaruh universitas baru, terutama di Asia.</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Bagi sebagian besar, keberhasilan kampus internasional dalam mendidik secara lokal bergantung pada bagaimana kampus internasional dan universitas 'induk' mereka membentuk keterlibatan mereka dengan negara tuan rumah.</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tahap awal menawarkan gelar di lokasi luar negeri, universitas induk berfokus pada kontrol kualitas. Ketika mereka membangun operasi yang jauh dari rumah, mereka perlu memastikan bahwa pengalaman pendidikan mahasiswa di luar negeri sesuai dengan mahasiswa di kampus induk. Ada penekanan kuat pada konsistensi kurikulum, dan komparabilitas dalam fasilitas dan pengalaman mahasiswa.</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Mahasiswa dan orang tua di negara tuan rumah memperoleh manfaat nyata dari fase duplikasi ini. Mereka dapat diyakinkan bahwa mereka menerima pendidikan internasional yang sesungguhnya dan bahwa gelar yang diperoleh bukanlah reproduksi kelas dua.</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persoalan ini juga memiliki kekurangan. Hal ini dimotivasi oleh dorongan untuk kualitas yang konsisten tetapi, ironisnya, hal ini menimbulkan masalah kualitas karena baik siswa maupun guru tidak memiliki andil dalam konten. Siswa dapat menjadi resah dengan kurikulum impor yang tidak sesuai dengan konteks lokal. Dan guru-guru yang berkualitas tidak dapat diharapkan untuk menyampaikan kurikulum yang hanya memiliki sedikit kontrol kreatif. Pendekatan duplikasi ini merupakan bentuk globalisasi pendidikan yang melibatkan sedikit transfer teknologi.</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Menanggapi keterbatasan ini, universitas telah menggabungkan duplikasi dengan pelokalan. Kampus-kampus internasional mengembangkan studi kasus, program studi, dan bahkan gelar mereka sendiri untuk memenuhi selera lokal dan peluang kerja. Inisiatif ini memberikan pengalaman pendidikan yang lebih kaya dan lebih terlibat bagi mahasiswa lokal, sambil mendapatkan keuntungan dari jaminan kualitas dan reputasi universitas induknya.</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'pelokalan' masih membawa asumsi 'kantor pusat' yang menjadi pendorong utama konten, kualitas, dan standar. Hal ini masih tetap merupakan mode operasi yang berpusat pada Barat.</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Kampus internasional dapat melangkah lebih jauh, tetapi perspektifnya harus berubah. Untuk menghindari pengistimewaan kantor pusat, menghilangkan terminologi kampus 'cabang' akan menjadi awal yang baik. Hal ini akan mengubah persepsi tentang kampus-kampus tersebut menjadi platform untuk keterlibatan dan kolaborasi di universitas-universitas yang memiliki jaringan global.</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'platform', mereka dapat menjadi mitra dalam produksi kurikulum (dan penelitian) transnasional yang memperkaya seluruh universitas, bukan hanya melokalkan konten untuk mahasiswa di cabang tersebut. Dan, sebagai platform, mereka dapat menjadi mitra aktif dalam proses penjaminan mutu global, alih-alih dibingkai sebagai risiko luar negeri yang perlu diawasi dengan cermat.</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penataan ulang yang tepat, kampus internasional dapat menjadi simpul keterlibatan kolaboratif dengan universitas, pemerintah, masyarakat sipil, dan industri di negara tuan rumah. Kampus-kampus tersebut dapat memberikan pengalaman pendidikan yang secara simultan melibatkan mahasiswa secara internasional dan lokal. Kampus internasional juga dapat menjadi jembatan menuju institusi-institusi kelas satu yang muncul di lanskap pendidikan tinggi yang baru.</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Manfaat mendasar dari kampus internasional tidak terletak pada pendapatan (umumnya kurang dari yang diharapkan) atau reputasi (campuran). Hal ini terletak pada potensi mereka untuk mengubah DNA universitas yang mendirikannya, mengorientasikan mereka ke arah asosiasi global yang sepenuhnya mengeksplorasi kemungkinan dunia pendidikan tinggi yang berpusat pada mutli-sentris.</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Andrew Walker adalah Wakil Rektor dan Presiden Monash University Malaysia. </w:t>
      </w:r>
    </w:p>
    <w:p w:rsidR="00000000" w:rsidDel="00000000" w:rsidP="00000000" w:rsidRDefault="00000000" w:rsidRPr="00000000" w14:paraId="00000020">
      <w:pPr>
        <w:rPr/>
      </w:pPr>
      <w:r w:rsidDel="00000000" w:rsidR="00000000" w:rsidRPr="00000000">
        <w:rPr>
          <w:rFonts w:ascii="Nova Mono" w:cs="Nova Mono" w:eastAsia="Nova Mono" w:hAnsi="Nova Mono"/>
          <w:sz w:val="24"/>
          <w:szCs w:val="24"/>
          <w:rtl w:val="0"/>
        </w:rPr>
        <w:t xml:space="preserve">Awalnya diterbitkan di bawah </w:t>
      </w:r>
      <w:hyperlink r:id="rId9">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10">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360info.org/" TargetMode="External"/><Relationship Id="rId9"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hyperlink" Target="https://www.timeshighereducation.com/features/are-branch-campuses-withering" TargetMode="External"/><Relationship Id="rId7" Type="http://schemas.openxmlformats.org/officeDocument/2006/relationships/hyperlink" Target="https://www.universityworldnews.com/post.php?story=2021031012405285" TargetMode="External"/><Relationship Id="rId8" Type="http://schemas.openxmlformats.org/officeDocument/2006/relationships/hyperlink" Target="http://ibc-spaces.org/wp-content/uploads/2020/08/Global_Geographies_of_Offshore_Campuses-11MB.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